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6" w:rsidRPr="00795462" w:rsidRDefault="009E7536" w:rsidP="009E7536">
      <w:pPr>
        <w:autoSpaceDE w:val="0"/>
        <w:autoSpaceDN w:val="0"/>
        <w:adjustRightInd w:val="0"/>
        <w:spacing w:line="400" w:lineRule="exact"/>
        <w:ind w:right="641"/>
        <w:rPr>
          <w:rFonts w:ascii="黑体" w:eastAsia="黑体" w:hAnsi="黑体" w:cs="·ÂËÎ_GB2312" w:hint="eastAsia"/>
          <w:kern w:val="0"/>
          <w:sz w:val="32"/>
          <w:szCs w:val="32"/>
        </w:rPr>
      </w:pPr>
      <w:r w:rsidRPr="00795462">
        <w:rPr>
          <w:rFonts w:ascii="黑体" w:eastAsia="黑体" w:hAnsi="黑体" w:cs="·ÂËÎ_GB2312" w:hint="eastAsia"/>
          <w:kern w:val="0"/>
          <w:sz w:val="32"/>
          <w:szCs w:val="32"/>
        </w:rPr>
        <w:t>附件2</w:t>
      </w:r>
    </w:p>
    <w:p w:rsidR="009E7536" w:rsidRPr="00795462" w:rsidRDefault="009E7536" w:rsidP="009E7536">
      <w:pPr>
        <w:autoSpaceDE w:val="0"/>
        <w:autoSpaceDN w:val="0"/>
        <w:adjustRightInd w:val="0"/>
        <w:spacing w:line="400" w:lineRule="exact"/>
        <w:ind w:right="641"/>
        <w:jc w:val="center"/>
        <w:rPr>
          <w:rFonts w:ascii="方正小标宋简体" w:eastAsia="方正小标宋简体" w:hAnsi="华文中宋" w:cs="宋体" w:hint="eastAsia"/>
          <w:kern w:val="0"/>
          <w:sz w:val="40"/>
          <w:szCs w:val="40"/>
        </w:rPr>
      </w:pPr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2018年市州</w:t>
      </w:r>
      <w:proofErr w:type="gramStart"/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脱贫成效</w:t>
      </w:r>
      <w:proofErr w:type="gramEnd"/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考核指标表</w:t>
      </w:r>
    </w:p>
    <w:p w:rsidR="009E7536" w:rsidRPr="00795462" w:rsidRDefault="009E7536" w:rsidP="009E7536">
      <w:pPr>
        <w:autoSpaceDE w:val="0"/>
        <w:autoSpaceDN w:val="0"/>
        <w:adjustRightInd w:val="0"/>
        <w:spacing w:line="400" w:lineRule="exact"/>
        <w:ind w:right="641"/>
        <w:jc w:val="left"/>
        <w:rPr>
          <w:rFonts w:ascii="方正小标宋简体" w:eastAsia="方正小标宋简体" w:hAnsi="黑体" w:cs="·ÂËÎ_GB2312" w:hint="eastAsia"/>
          <w:kern w:val="0"/>
          <w:sz w:val="40"/>
          <w:szCs w:val="40"/>
        </w:rPr>
      </w:pPr>
      <w:r w:rsidRPr="00795462">
        <w:rPr>
          <w:rFonts w:ascii="仿宋_GB2312" w:eastAsia="仿宋_GB2312" w:hAnsi="华文中宋" w:cs="宋体" w:hint="eastAsia"/>
          <w:b/>
          <w:bCs/>
          <w:kern w:val="0"/>
          <w:szCs w:val="21"/>
        </w:rPr>
        <w:t>被考核市州：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1662"/>
        <w:gridCol w:w="2895"/>
        <w:gridCol w:w="2730"/>
        <w:gridCol w:w="939"/>
        <w:gridCol w:w="607"/>
      </w:tblGrid>
      <w:tr w:rsidR="009E7536" w:rsidRPr="00795462" w:rsidTr="00C1321E">
        <w:trPr>
          <w:trHeight w:val="510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三个</w:t>
            </w:r>
          </w:p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落实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考核要求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考核得分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责任</w:t>
            </w:r>
          </w:p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落实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落实中央和省上脱贫攻坚政策部署,推动健康扶贫攻坚工作部署情况（卫生健康部门）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健康扶贫三年行动实施方案落实情况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相关部门在2018年12月30日联合出台健康扶贫三年行动实施方案得20分；2019年印发的得10分；截至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考核日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未出台的得0分。已出台的文件原件带回。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建立督查指导工作机制，对各县市区进行指导、工作进展进行分析、通报、督办情况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2018年建立了督查指导工作机制，有健康扶贫相关情况分析、通报得10分，未建立，未通报、督促制度，未开展督查督导不得分。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政策</w:t>
            </w:r>
          </w:p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落实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贫困人口参加城乡居民基本医疗保险情况（人社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保部门，以2018年12月31日数据为准）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 贫困人口数/参加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按参保比例得分。100%参加则得40分，比例低于85%以下不得分。参保人数大于贫困人口的按100%计算。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贫困人口参加城乡居民基本医疗保险财政定额补助人员情况（民政部门）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 农村贫困人口参加基本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保资助政策是否全覆盖。即对所有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农村低保对象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、特困人员及建档立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人口参加基本医疗保险个人缴费部分给予资助，除当年缴费期结束后新增建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档立卡贫困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人口、新生儿及因服刑、死亡、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失联等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原因无法参保之外的建档立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人口，资助参保覆盖率达到100%。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按资助参保比例得分。一是建档立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人口参保资助达到100%得30分，具体扣分是达到95%-99%扣10分，90%-94%扣20分，85%-89%扣30分 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任务</w:t>
            </w:r>
          </w:p>
          <w:p w:rsidR="009E7536" w:rsidRPr="00795462" w:rsidRDefault="009E7536" w:rsidP="00C1321E">
            <w:pPr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落实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贫困人口医疗救助政策落实情况（民政部门）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2018年1月1日起，建档立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人口住院费用在基本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保和大病保险报销后，合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医疗费用年累计超过3000元以上部分，由民政部门通过医疗救助政策全部兜底解决。对于属于建档立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人口的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农村低保对象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、特困人员，按照就高不就低的原则可选择原救助政策实施救助，不得重复救助。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落实建档立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人口住院，个人负担合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医疗费用年累计超过3000元以上部分由医疗救助兜底保障得分40分，否则不得分。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lastRenderedPageBreak/>
              <w:t>任务</w:t>
            </w:r>
          </w:p>
          <w:p w:rsidR="009E7536" w:rsidRPr="00795462" w:rsidRDefault="009E7536" w:rsidP="00C1321E">
            <w:pPr>
              <w:widowControl/>
              <w:spacing w:line="30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落实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县域内先诊疗后付费和一站式即时结算机制建设和落实情况（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人社部门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保、大病保险、民政救助在县级医院窗口均能直接结算；基本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保、大病保险由系统结算，民政救助可手工结算。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实现一站式结算的得10分，未实现的不得分。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大病集中救治行动（卫生健康部门)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2018年应救治人数：21种大病患者    人：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2018年已救助人数：                     救助率       %。                  总分5分，  按比例得分。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贫困人口慢性病规范管理情况 (卫生健康部门）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高血压人数：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糖尿病人数：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结核病人数：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严重精神障碍人数：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地方病防治情况： (卫生健康部门）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患病人数：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规范治疗管理率：                         总分10分，按签约率得分。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E7536" w:rsidRPr="00795462" w:rsidTr="00C1321E">
        <w:trPr>
          <w:trHeight w:val="510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0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妇幼健康工作 (卫生健康部门）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2018年宫颈癌筛查任务：                  乳腺癌筛查任务：                           新生儿疾病筛查任务：                     儿童营养包项目任务数：                     孕前优生项目任务：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2018年平均完成率：                                         总分10分，按完成率得分。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E7536" w:rsidRPr="00795462" w:rsidRDefault="009E7536" w:rsidP="00C1321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5933F0" w:rsidRDefault="009E7536">
      <w:r w:rsidRPr="00795462">
        <w:rPr>
          <w:rFonts w:ascii="仿宋_GB2312" w:eastAsia="仿宋_GB2312" w:hAnsi="华文宋体" w:cs="宋体" w:hint="eastAsia"/>
          <w:b/>
          <w:bCs/>
          <w:kern w:val="0"/>
          <w:szCs w:val="21"/>
        </w:rPr>
        <w:t>被考核方负责人：                                         考核组成员：</w:t>
      </w:r>
      <w:bookmarkStart w:id="0" w:name="_GoBack"/>
      <w:bookmarkEnd w:id="0"/>
    </w:p>
    <w:sectPr w:rsidR="0059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36"/>
    <w:rsid w:val="00024BC6"/>
    <w:rsid w:val="00236C14"/>
    <w:rsid w:val="00317F1E"/>
    <w:rsid w:val="004A6335"/>
    <w:rsid w:val="004C298B"/>
    <w:rsid w:val="004D0E21"/>
    <w:rsid w:val="00565B49"/>
    <w:rsid w:val="005933F0"/>
    <w:rsid w:val="006162D0"/>
    <w:rsid w:val="00737ABC"/>
    <w:rsid w:val="00752913"/>
    <w:rsid w:val="008E437F"/>
    <w:rsid w:val="00936C1F"/>
    <w:rsid w:val="00945D79"/>
    <w:rsid w:val="00991681"/>
    <w:rsid w:val="009E7536"/>
    <w:rsid w:val="00AE359A"/>
    <w:rsid w:val="00B03C43"/>
    <w:rsid w:val="00B07B05"/>
    <w:rsid w:val="00C23E34"/>
    <w:rsid w:val="00C52F05"/>
    <w:rsid w:val="00C70F70"/>
    <w:rsid w:val="00D60340"/>
    <w:rsid w:val="00E506B5"/>
    <w:rsid w:val="00EA071E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78E8-FD73-408C-ABD0-3BCC193A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>Home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2019-02-20T09:54:00Z</dcterms:created>
  <dcterms:modified xsi:type="dcterms:W3CDTF">2019-02-20T09:55:00Z</dcterms:modified>
</cp:coreProperties>
</file>