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95" w:rsidRPr="00795462" w:rsidRDefault="00AA1D95" w:rsidP="00AA1D95">
      <w:pPr>
        <w:autoSpaceDE w:val="0"/>
        <w:autoSpaceDN w:val="0"/>
        <w:adjustRightInd w:val="0"/>
        <w:spacing w:line="400" w:lineRule="exact"/>
        <w:ind w:right="641"/>
        <w:rPr>
          <w:rFonts w:ascii="黑体" w:eastAsia="黑体" w:hAnsi="黑体" w:cs="·ÂËÎ_GB2312" w:hint="eastAsia"/>
          <w:kern w:val="0"/>
          <w:sz w:val="32"/>
          <w:szCs w:val="32"/>
        </w:rPr>
      </w:pPr>
      <w:r w:rsidRPr="00795462">
        <w:rPr>
          <w:rFonts w:ascii="黑体" w:eastAsia="黑体" w:hAnsi="黑体" w:cs="·ÂËÎ_GB2312" w:hint="eastAsia"/>
          <w:kern w:val="0"/>
          <w:sz w:val="32"/>
          <w:szCs w:val="32"/>
        </w:rPr>
        <w:t xml:space="preserve">附件3 </w:t>
      </w:r>
    </w:p>
    <w:p w:rsidR="00AA1D95" w:rsidRPr="00795462" w:rsidRDefault="00AA1D95" w:rsidP="00AA1D95">
      <w:pPr>
        <w:autoSpaceDE w:val="0"/>
        <w:autoSpaceDN w:val="0"/>
        <w:adjustRightInd w:val="0"/>
        <w:spacing w:line="400" w:lineRule="exact"/>
        <w:ind w:right="641"/>
        <w:jc w:val="center"/>
        <w:rPr>
          <w:rFonts w:ascii="方正小标宋简体" w:eastAsia="方正小标宋简体" w:hAnsi="华文中宋" w:cs="宋体" w:hint="eastAsia"/>
          <w:kern w:val="0"/>
          <w:sz w:val="40"/>
          <w:szCs w:val="40"/>
        </w:rPr>
      </w:pPr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2018年县市区</w:t>
      </w:r>
      <w:proofErr w:type="gramStart"/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脱贫成效</w:t>
      </w:r>
      <w:proofErr w:type="gramEnd"/>
      <w:r w:rsidRPr="00795462">
        <w:rPr>
          <w:rFonts w:ascii="方正小标宋简体" w:eastAsia="方正小标宋简体" w:hAnsi="华文中宋" w:cs="宋体" w:hint="eastAsia"/>
          <w:kern w:val="0"/>
          <w:sz w:val="40"/>
          <w:szCs w:val="40"/>
        </w:rPr>
        <w:t>考核指标表</w:t>
      </w:r>
    </w:p>
    <w:p w:rsidR="00AA1D95" w:rsidRPr="00795462" w:rsidRDefault="00AA1D95" w:rsidP="00AA1D95">
      <w:pPr>
        <w:autoSpaceDE w:val="0"/>
        <w:autoSpaceDN w:val="0"/>
        <w:adjustRightInd w:val="0"/>
        <w:spacing w:line="400" w:lineRule="exact"/>
        <w:ind w:right="641"/>
        <w:jc w:val="left"/>
        <w:rPr>
          <w:rFonts w:ascii="方正小标宋简体" w:eastAsia="方正小标宋简体" w:hAnsi="黑体" w:cs="·ÂËÎ_GB2312" w:hint="eastAsia"/>
          <w:kern w:val="0"/>
          <w:sz w:val="40"/>
          <w:szCs w:val="40"/>
        </w:rPr>
      </w:pPr>
      <w:r w:rsidRPr="00795462">
        <w:rPr>
          <w:rFonts w:ascii="仿宋_GB2312" w:eastAsia="仿宋_GB2312" w:hAnsi="华文中宋" w:cs="宋体" w:hint="eastAsia"/>
          <w:b/>
          <w:bCs/>
          <w:kern w:val="0"/>
          <w:szCs w:val="21"/>
        </w:rPr>
        <w:t>被考核县市区：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1"/>
        <w:gridCol w:w="1864"/>
        <w:gridCol w:w="3088"/>
        <w:gridCol w:w="3061"/>
        <w:gridCol w:w="682"/>
        <w:gridCol w:w="550"/>
      </w:tblGrid>
      <w:tr w:rsidR="00AA1D95" w:rsidRPr="00795462" w:rsidTr="00C1321E">
        <w:trPr>
          <w:trHeight w:val="510"/>
          <w:tblHeader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三个落实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考核内容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考核要求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考核标准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考核</w:t>
            </w:r>
          </w:p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责任落实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落实中央和省上脱贫攻坚政策部署,推动健康扶贫攻坚工作部署情况（卫生健康部门）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健康扶贫三年行动实施方案落实情况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相关部门在2018年12月30日联合出台健康扶三年行动实施方案得20分；2019年印发的得10分；截至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考核日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未出台的得0分。已出台的文件原件带回。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健康扶贫专责组（领导小组）工作机制建设与定期研究推进工作情况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建立专题会议机制，各相关成员单位参加，有会议记录得10分，无上述情况不得分。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政策落实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贫困人口参加城乡居民基本医疗保险情况（人社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保部门，以2018年12月31日数据为准）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人口全部参加城乡居民基本医疗保险，对因参军、就学、务工、婚姻等各种原因已在异地参保的建档立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人口不计算在内。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共40分，每出现1 人未参保扣1分，直到扣完为止。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基本医疗保险报销政策落实情况（人社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保部门）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人口全部享受基本医疗保险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报销扶贫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政策。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医疗费用比普通人群报销比例提高5个百分点。总分20分，每发现一个人未落实扣1分，扣完为止。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人口在各级定点医疗机构就诊均不设起付线。总分20分，每发现一例收取押金扣1分，扣完为止。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 符合条件的患病人口享受大病保险（含门诊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慢特病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）、医疗救助（含重特大疾病）等政策，实际报销比达到85%。总分20分，每发现一例未达到85%扣1分，扣完为止。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贫困人口参加城乡居民基本医疗保险财政定额补助人员情况（民政部门）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 农村贫困人口参加基本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保资助政策是否全覆盖。即对所有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农村低保对象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、特困人员及建档立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人口参加基本医疗保险个人缴费部分给予资助，除当年缴费期结束后新增建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档立卡贫困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人口、新生儿及因服刑、死亡、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失联等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原因无法参保之外的建档立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lastRenderedPageBreak/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人口，资助参保覆盖率达到100%。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lastRenderedPageBreak/>
              <w:t>查阅台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账，按资助参保比例得分。建档立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人口参保资助达到100%得40分，具体扣分是达到95%-99%扣10分，90%-94%扣20分，85%-89%扣30分，85%以下扣40分。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政策落实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贫困人口医疗救助政策落实情况</w:t>
            </w:r>
          </w:p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（民政部门）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spacing w:val="-4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spacing w:val="-4"/>
                <w:kern w:val="0"/>
                <w:szCs w:val="21"/>
              </w:rPr>
              <w:t>2</w:t>
            </w: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018年1月1日起，建档立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人口住院费用在基本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保和大病保险报销后，合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医疗费用年累计超过3000元以上部分，由民政部门通过医疗救助政策全部兜底解决。对于属于建档立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人口的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农村低保对象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、特困人员，按照就高不就低的原则可选择原救助政策实施救助，不得重复救助</w:t>
            </w:r>
            <w:r w:rsidRPr="00795462">
              <w:rPr>
                <w:rFonts w:ascii="仿宋_GB2312" w:eastAsia="仿宋_GB2312" w:hAnsi="华文宋体" w:cs="宋体" w:hint="eastAsia"/>
                <w:spacing w:val="-4"/>
                <w:kern w:val="0"/>
                <w:szCs w:val="21"/>
              </w:rPr>
              <w:t>。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落实建档立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卡贫困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人口住院，个人负担合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医疗费用年累计超过3000元以上部分由医疗救助兜底保障得分40分，否则不得分。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出台医疗救助政策相应的配套文件情况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按照省上医疗救助政策文件出台了相应的配套政策落实文件得10分，未出台不得分。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任务落实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县域内先诊疗后付费和一站式即时结算机制建设和落实情况（人社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保与民政部门）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40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保、大病保险在县级医院窗口均能直接结算；基本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医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保、大病保险由系统结算。民政部门与定点医院签订医疗救助协议、设立服务窗口、预拨资金、委派经办人员开展工作；县内有1家医疗机构纳入全国跨省异地就医直接结算。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县级医疗机构实现“一站式”结算和有1家医院纳入异地结算的得10分，未实现的不得分。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乡镇卫生院建设情况(卫生健康部门）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乡镇数/标准化乡镇卫生院数（含分院）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全县有多少个乡镇卫生院：   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个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。</w:t>
            </w: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其中达标多少个：   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个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。县级政府所在地社区卫生服务中心视同卫生院计算。 总分10分，按达标比例得分。                              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乡镇卫生院全科医生配备数(卫生健康部门）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每个卫生院应配备有1名全科医生。查阅卫生院医生门诊管理台账。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有       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个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卫生院配备了至少1名全科医生，比例是         %。 总分10分，按比例得分。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村卫生室情况(卫生健康部门）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4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全县有多少个行政村，有多少个行政村是乡镇卫生院所在地。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全县有          </w:t>
            </w:r>
            <w:proofErr w:type="gramStart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个</w:t>
            </w:r>
            <w:proofErr w:type="gramEnd"/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村卫生室，占应设卫生室的比</w:t>
            </w: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lastRenderedPageBreak/>
              <w:t xml:space="preserve">例         %  。    总分10分，按比例得分。                                 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大病集中救治行动(卫生健康部门）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2018年应救治人数：21种大病患者              人：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 xml:space="preserve">2018年已救助人数：                     救助率       %。                              总分5分， 按比例得分。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  <w:t>任务落实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贫困人口慢性病规范管理情况 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高血压人数：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糖尿病人数：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8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结核病人数：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严重精神障碍人数：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签约人数：     签约率：                总分5分，按签约率得分。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地方病防治情况(卫生健康部门）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患病人数：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规范治疗管理率：                         总分10分，按签约率得分。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妇幼健康工作(卫生健康部门）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2018年宫颈癌筛查任务：                  乳腺癌筛查任务：                           新生儿疾病筛查任务：                     儿童营养包项目任务数：                     孕前优生项目任务：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kern w:val="0"/>
                <w:szCs w:val="21"/>
              </w:rPr>
              <w:t>2018年平均完成率：                                         总分10分，按完成率得分。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  <w:r w:rsidRPr="00795462">
              <w:rPr>
                <w:rFonts w:ascii="仿宋_GB2312" w:eastAsia="仿宋_GB2312" w:hAnsi="等线" w:cs="宋体" w:hint="eastAsia"/>
                <w:kern w:val="0"/>
                <w:szCs w:val="21"/>
              </w:rPr>
              <w:t xml:space="preserve">　</w:t>
            </w:r>
          </w:p>
        </w:tc>
      </w:tr>
      <w:tr w:rsidR="00AA1D95" w:rsidRPr="00795462" w:rsidTr="00C1321E">
        <w:trPr>
          <w:trHeight w:val="510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被考核方：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等线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left"/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</w:pPr>
            <w:r w:rsidRPr="00795462">
              <w:rPr>
                <w:rFonts w:ascii="仿宋_GB2312" w:eastAsia="仿宋_GB2312" w:hAnsi="华文宋体" w:cs="宋体" w:hint="eastAsia"/>
                <w:b/>
                <w:bCs/>
                <w:kern w:val="0"/>
                <w:szCs w:val="21"/>
              </w:rPr>
              <w:t>考核人：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AA1D95" w:rsidRPr="00795462" w:rsidRDefault="00AA1D95" w:rsidP="00C1321E">
            <w:pPr>
              <w:widowControl/>
              <w:spacing w:line="320" w:lineRule="exact"/>
              <w:jc w:val="center"/>
              <w:rPr>
                <w:rFonts w:ascii="仿宋_GB2312" w:eastAsia="仿宋_GB2312" w:hAnsi="等线" w:cs="宋体" w:hint="eastAsia"/>
                <w:kern w:val="0"/>
                <w:szCs w:val="21"/>
              </w:rPr>
            </w:pPr>
          </w:p>
        </w:tc>
      </w:tr>
    </w:tbl>
    <w:p w:rsidR="005933F0" w:rsidRDefault="005933F0">
      <w:bookmarkStart w:id="0" w:name="_GoBack"/>
      <w:bookmarkEnd w:id="0"/>
    </w:p>
    <w:sectPr w:rsidR="0059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·ÂËÎ_GB2312">
    <w:altName w:val="Arial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95"/>
    <w:rsid w:val="00024BC6"/>
    <w:rsid w:val="00236C14"/>
    <w:rsid w:val="00317F1E"/>
    <w:rsid w:val="004A6335"/>
    <w:rsid w:val="004C298B"/>
    <w:rsid w:val="004D0E21"/>
    <w:rsid w:val="00565B49"/>
    <w:rsid w:val="005933F0"/>
    <w:rsid w:val="006162D0"/>
    <w:rsid w:val="00737ABC"/>
    <w:rsid w:val="00752913"/>
    <w:rsid w:val="008E437F"/>
    <w:rsid w:val="00936C1F"/>
    <w:rsid w:val="00945D79"/>
    <w:rsid w:val="00991681"/>
    <w:rsid w:val="00AA1D95"/>
    <w:rsid w:val="00AE359A"/>
    <w:rsid w:val="00B03C43"/>
    <w:rsid w:val="00B07B05"/>
    <w:rsid w:val="00C23E34"/>
    <w:rsid w:val="00C52F05"/>
    <w:rsid w:val="00C70F70"/>
    <w:rsid w:val="00D60340"/>
    <w:rsid w:val="00E506B5"/>
    <w:rsid w:val="00EA071E"/>
    <w:rsid w:val="00F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60E85"/>
  <w15:chartTrackingRefBased/>
  <w15:docId w15:val="{72E7F61B-FDBC-42E7-A8DA-6D9DD96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2180</Characters>
  <Application>Microsoft Office Word</Application>
  <DocSecurity>0</DocSecurity>
  <Lines>18</Lines>
  <Paragraphs>5</Paragraphs>
  <ScaleCrop>false</ScaleCrop>
  <Company>Home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2019-02-20T09:55:00Z</dcterms:created>
  <dcterms:modified xsi:type="dcterms:W3CDTF">2019-02-20T09:55:00Z</dcterms:modified>
</cp:coreProperties>
</file>